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001-31 nomu</w:t>
      </w:r>
    </w:p>
    <w:p w14:paraId="00000009">
      <w:pPr>
        <w:ind w:left="0" w:hanging="2"/>
        <w:jc w:val="both"/>
        <w:rPr>
          <w:sz w:val="23"/>
          <w:szCs w:val="23"/>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3"/>
          <w:szCs w:val="23"/>
        </w:rPr>
      </w:pPr>
    </w:p>
    <w:p w14:paraId="0000000F">
      <w:pPr>
        <w:ind w:left="0" w:hanging="2"/>
        <w:jc w:val="both"/>
        <w:rPr>
          <w:sz w:val="23"/>
          <w:szCs w:val="23"/>
        </w:rPr>
      </w:pPr>
    </w:p>
    <w:p w14:paraId="00000010">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ē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2"/>
          <w:szCs w:val="22"/>
        </w:rPr>
        <w:t>, un</w:t>
      </w:r>
    </w:p>
    <w:p w14:paraId="00000011">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 001-31, kas atrodas </w:t>
      </w:r>
      <w:r>
        <w:rPr>
          <w:sz w:val="23"/>
          <w:szCs w:val="23"/>
        </w:rPr>
        <w:t>Augšielā</w:t>
      </w:r>
      <w:r>
        <w:rPr>
          <w:sz w:val="23"/>
          <w:szCs w:val="23"/>
        </w:rPr>
        <w:t xml:space="preserve"> 1</w:t>
      </w:r>
      <w:r>
        <w:rPr>
          <w:sz w:val="23"/>
          <w:szCs w:val="23"/>
        </w:rPr>
        <w:t xml:space="preserve"> (Daugavas stadiona B tribīnē)</w:t>
      </w:r>
      <w:r>
        <w:rPr>
          <w:sz w:val="23"/>
          <w:szCs w:val="23"/>
        </w:rPr>
        <w:t>, Rīgā</w:t>
      </w:r>
      <w:r>
        <w:rPr>
          <w:sz w:val="23"/>
          <w:szCs w:val="23"/>
        </w:rPr>
        <w:t>, ar  platību 58,9 m</w:t>
      </w:r>
      <w:r>
        <w:rPr>
          <w:sz w:val="23"/>
          <w:szCs w:val="23"/>
          <w:vertAlign w:val="superscript"/>
        </w:rPr>
        <w:t>2</w:t>
      </w:r>
      <w:r>
        <w:rPr>
          <w:color w:val="000000"/>
          <w:sz w:val="23"/>
          <w:szCs w:val="23"/>
        </w:rPr>
        <w:t xml:space="preserve"> (piecdesmit astoņi</w:t>
      </w:r>
      <w:r>
        <w:rPr>
          <w:sz w:val="23"/>
          <w:szCs w:val="23"/>
        </w:rPr>
        <w:t xml:space="preserve"> komats deviņi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2"/>
          <w:numId w:val="6"/>
        </w:numPr>
        <w:ind w:left="0" w:hanging="2"/>
        <w:jc w:val="both"/>
        <w:rPr>
          <w:sz w:val="23"/>
          <w:szCs w:val="23"/>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00000043">
      <w:pPr>
        <w:numPr>
          <w:ilvl w:val="1"/>
          <w:numId w:val="5"/>
        </w:numPr>
        <w:ind w:left="0" w:hanging="2"/>
        <w:jc w:val="both"/>
        <w:rPr>
          <w:sz w:val="23"/>
          <w:szCs w:val="23"/>
        </w:rPr>
      </w:pPr>
      <w:r>
        <w:rPr>
          <w:sz w:val="23"/>
          <w:szCs w:val="23"/>
        </w:rPr>
        <w:t>IZNOMĀTĀJAM ir pienākums:</w:t>
      </w:r>
    </w:p>
    <w:p w14:paraId="00000044">
      <w:pPr>
        <w:numPr>
          <w:ilvl w:val="2"/>
          <w:numId w:val="8"/>
        </w:numPr>
        <w:ind w:left="0" w:hanging="2"/>
        <w:jc w:val="both"/>
        <w:rPr>
          <w:sz w:val="23"/>
          <w:szCs w:val="23"/>
        </w:rPr>
      </w:pPr>
      <w:r>
        <w:rPr>
          <w:sz w:val="23"/>
          <w:szCs w:val="23"/>
        </w:rPr>
        <w:t>nodot NOMNIEKAM lietošanā Nomas objektu saskaņā ar Līguma noteikumiem;</w:t>
      </w:r>
    </w:p>
    <w:p w14:paraId="00000045">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6">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7">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8">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9">
      <w:pPr>
        <w:ind w:left="0" w:hanging="2"/>
        <w:jc w:val="both"/>
        <w:rPr>
          <w:sz w:val="23"/>
          <w:szCs w:val="23"/>
        </w:rPr>
      </w:pPr>
    </w:p>
    <w:p w14:paraId="0000004A">
      <w:pPr>
        <w:numPr>
          <w:ilvl w:val="0"/>
          <w:numId w:val="5"/>
        </w:numPr>
        <w:ind w:left="0" w:hanging="2"/>
        <w:jc w:val="center"/>
        <w:rPr>
          <w:sz w:val="23"/>
          <w:szCs w:val="23"/>
        </w:rPr>
      </w:pPr>
      <w:r>
        <w:rPr>
          <w:b/>
          <w:sz w:val="23"/>
          <w:szCs w:val="23"/>
        </w:rPr>
        <w:t>NOMNIEKA TIESĪBAS UN PIENĀKUMI</w:t>
      </w:r>
    </w:p>
    <w:p w14:paraId="0000004B">
      <w:pPr>
        <w:numPr>
          <w:ilvl w:val="1"/>
          <w:numId w:val="2"/>
        </w:numPr>
        <w:ind w:left="0" w:hanging="2"/>
        <w:jc w:val="both"/>
        <w:rPr>
          <w:sz w:val="23"/>
          <w:szCs w:val="23"/>
        </w:rPr>
      </w:pPr>
      <w:r>
        <w:rPr>
          <w:sz w:val="23"/>
          <w:szCs w:val="23"/>
        </w:rPr>
        <w:t>NOMNIEKAM ir tiesības:</w:t>
      </w:r>
    </w:p>
    <w:p w14:paraId="0000004C">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D">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E">
      <w:pPr>
        <w:numPr>
          <w:ilvl w:val="1"/>
          <w:numId w:val="2"/>
        </w:numPr>
        <w:ind w:left="0" w:hanging="2"/>
        <w:jc w:val="both"/>
        <w:rPr>
          <w:sz w:val="23"/>
          <w:szCs w:val="23"/>
        </w:rPr>
      </w:pPr>
      <w:r>
        <w:rPr>
          <w:sz w:val="23"/>
          <w:szCs w:val="23"/>
        </w:rPr>
        <w:t xml:space="preserve"> NOMNIEKS nav tiesīgs:</w:t>
      </w:r>
    </w:p>
    <w:p w14:paraId="0000004F">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50">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1">
      <w:pPr>
        <w:numPr>
          <w:ilvl w:val="1"/>
          <w:numId w:val="2"/>
        </w:numPr>
        <w:ind w:left="0" w:hanging="2"/>
        <w:jc w:val="both"/>
        <w:rPr>
          <w:sz w:val="23"/>
          <w:szCs w:val="23"/>
        </w:rPr>
      </w:pPr>
      <w:r>
        <w:rPr>
          <w:sz w:val="23"/>
          <w:szCs w:val="23"/>
        </w:rPr>
        <w:t>NOMNIEKAM ir pienākums:</w:t>
      </w:r>
    </w:p>
    <w:p w14:paraId="00000052">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3">
      <w:pPr>
        <w:numPr>
          <w:ilvl w:val="2"/>
          <w:numId w:val="2"/>
        </w:numPr>
        <w:tabs>
          <w:tab w:val="left" w:pos="993"/>
        </w:tabs>
        <w:ind w:left="0" w:hanging="2"/>
        <w:jc w:val="both"/>
        <w:rPr>
          <w:sz w:val="23"/>
          <w:szCs w:val="23"/>
        </w:rPr>
      </w:pPr>
      <w:r>
        <w:rPr>
          <w:sz w:val="23"/>
          <w:szCs w:val="23"/>
        </w:rPr>
        <w:t>veikt maksājumus atbilstoši Līguma 3.nodaļas noteikumiem;</w:t>
      </w:r>
    </w:p>
    <w:p w14:paraId="00000054">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5">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6">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7">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8">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9">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A">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B">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C">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D">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E">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F">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60">
      <w:pPr>
        <w:ind w:left="0" w:hanging="2"/>
        <w:jc w:val="both"/>
        <w:rPr>
          <w:sz w:val="23"/>
          <w:szCs w:val="23"/>
        </w:rPr>
      </w:pPr>
    </w:p>
    <w:p w14:paraId="00000061">
      <w:pPr>
        <w:numPr>
          <w:ilvl w:val="0"/>
          <w:numId w:val="2"/>
        </w:numPr>
        <w:ind w:left="0" w:hanging="2"/>
        <w:jc w:val="center"/>
        <w:rPr>
          <w:sz w:val="23"/>
          <w:szCs w:val="23"/>
        </w:rPr>
      </w:pPr>
      <w:r>
        <w:rPr>
          <w:b/>
          <w:sz w:val="23"/>
          <w:szCs w:val="23"/>
        </w:rPr>
        <w:t>PUŠU ATBILDĪBA</w:t>
      </w:r>
    </w:p>
    <w:p w14:paraId="00000062">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3">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4">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5">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6">
      <w:pPr>
        <w:numPr>
          <w:ilvl w:val="1"/>
          <w:numId w:val="2"/>
        </w:numPr>
        <w:ind w:left="0" w:hanging="2"/>
        <w:jc w:val="both"/>
        <w:rPr>
          <w:sz w:val="23"/>
          <w:szCs w:val="23"/>
        </w:rPr>
      </w:pPr>
      <w:r>
        <w:rPr>
          <w:sz w:val="23"/>
          <w:szCs w:val="23"/>
        </w:rPr>
        <w:t>NOMNIEKS ir atbildīgs par ugunsdrošību Nomas objektā.</w:t>
      </w:r>
    </w:p>
    <w:p w14:paraId="00000067">
      <w:pPr>
        <w:spacing w:line="240" w:lineRule="auto"/>
        <w:ind w:left="0" w:hanging="2"/>
        <w:rPr>
          <w:sz w:val="23"/>
          <w:szCs w:val="23"/>
        </w:rPr>
      </w:pPr>
    </w:p>
    <w:p w14:paraId="00000068">
      <w:pPr>
        <w:numPr>
          <w:ilvl w:val="0"/>
          <w:numId w:val="2"/>
        </w:numPr>
        <w:ind w:left="0" w:hanging="2"/>
        <w:jc w:val="center"/>
        <w:rPr>
          <w:sz w:val="23"/>
          <w:szCs w:val="23"/>
        </w:rPr>
      </w:pPr>
      <w:r>
        <w:rPr>
          <w:b/>
          <w:sz w:val="23"/>
          <w:szCs w:val="23"/>
        </w:rPr>
        <w:t>NEPĀRVARAMA VARA</w:t>
      </w:r>
    </w:p>
    <w:p w14:paraId="00000069">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A">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B">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C">
      <w:pPr>
        <w:ind w:left="0" w:hanging="2"/>
        <w:rPr>
          <w:sz w:val="23"/>
          <w:szCs w:val="23"/>
        </w:rPr>
      </w:pPr>
    </w:p>
    <w:p w14:paraId="0000006D">
      <w:pPr>
        <w:numPr>
          <w:ilvl w:val="0"/>
          <w:numId w:val="2"/>
        </w:numPr>
        <w:ind w:left="0" w:hanging="2"/>
        <w:jc w:val="center"/>
        <w:rPr>
          <w:sz w:val="23"/>
          <w:szCs w:val="23"/>
        </w:rPr>
      </w:pPr>
      <w:r>
        <w:rPr>
          <w:b/>
          <w:sz w:val="23"/>
          <w:szCs w:val="23"/>
        </w:rPr>
        <w:t>CITI NOTEIKUMI</w:t>
      </w:r>
    </w:p>
    <w:p w14:paraId="0000006E">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F">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70">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1">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2">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3">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4">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5">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6">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7">
      <w:pPr>
        <w:ind w:left="0" w:hanging="2"/>
        <w:rPr>
          <w:sz w:val="23"/>
          <w:szCs w:val="23"/>
        </w:rPr>
      </w:pPr>
    </w:p>
    <w:p w14:paraId="00000078">
      <w:pPr>
        <w:numPr>
          <w:ilvl w:val="0"/>
          <w:numId w:val="7"/>
        </w:numPr>
        <w:ind w:left="0" w:hanging="2"/>
        <w:jc w:val="center"/>
        <w:rPr>
          <w:sz w:val="23"/>
          <w:szCs w:val="23"/>
        </w:rPr>
      </w:pPr>
      <w:r>
        <w:rPr>
          <w:b/>
          <w:sz w:val="23"/>
          <w:szCs w:val="23"/>
        </w:rPr>
        <w:t>PUŠU PARAKSTI UN REKVIZĪTI</w:t>
      </w:r>
    </w:p>
    <w:p w14:paraId="00000079">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A">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ind w:left="0" w:firstLine="0"/>
        <w:jc w:val="both"/>
        <w:rPr>
          <w:sz w:val="23"/>
          <w:szCs w:val="23"/>
        </w:rPr>
      </w:pPr>
    </w:p>
    <w:p w14:paraId="0000007F">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80">
      <w:pPr>
        <w:ind w:left="0" w:hanging="2"/>
        <w:jc w:val="both"/>
        <w:rPr>
          <w:sz w:val="23"/>
          <w:szCs w:val="23"/>
        </w:rPr>
      </w:pPr>
    </w:p>
    <w:p w14:paraId="00000081">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2">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3">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4">
      <w:pPr>
        <w:tabs>
          <w:tab w:val="left" w:pos="5105"/>
        </w:tabs>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both"/>
        <w:rPr>
          <w:sz w:val="23"/>
          <w:szCs w:val="23"/>
        </w:rPr>
      </w:pPr>
    </w:p>
    <w:p w14:paraId="00000089">
      <w:pPr>
        <w:ind w:left="0" w:hanging="2"/>
        <w:jc w:val="center"/>
        <w:rPr>
          <w:b/>
          <w:sz w:val="23"/>
          <w:szCs w:val="23"/>
        </w:rPr>
      </w:pPr>
    </w:p>
    <w:p w14:paraId="0000008A">
      <w:pPr>
        <w:ind w:left="0" w:hanging="2"/>
        <w:rPr>
          <w:rFonts w:ascii="Arial" w:cs="Arial" w:eastAsia="Arial" w:hAnsi="Arial"/>
          <w:color w:val="222222"/>
          <w:sz w:val="22"/>
          <w:szCs w:val="22"/>
          <w:highlight w:val="white"/>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ind w:left="0" w:hanging="2"/>
        <w:rPr/>
      </w:pPr>
    </w:p>
    <w:p w14:paraId="000000AF">
      <w:pPr>
        <w:ind w:left="0" w:hanging="2"/>
        <w:rPr/>
      </w:pPr>
    </w:p>
    <w:p w14:paraId="000000B0">
      <w:pPr>
        <w:pStyle w:val="ListParagraph"/>
        <w:numPr>
          <w:ilvl w:val="0"/>
          <w:numId w:val="14"/>
        </w:numPr>
        <w:rPr/>
      </w:pPr>
      <w:r>
        <w:t>Pielikums Telpu grupas telpu plāns</w:t>
      </w:r>
    </w:p>
    <w:p w14:paraId="000000B1">
      <w:pPr>
        <w:ind w:left="0" w:firstLine="0"/>
        <w:rPr/>
      </w:pPr>
    </w:p>
    <w:p w14:paraId="000000B2">
      <w:pPr>
        <w:ind w:left="0" w:firstLine="0"/>
        <w:rPr/>
      </w:pPr>
    </w:p>
    <w:sectPr>
      <w:headerReference w:type="default" r:id="rId23"/>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3">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4">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3"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